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42344"/>
          <w:sz w:val="32"/>
        </w:rPr>
        <w:t>Grant Management Checklist</w:t>
      </w:r>
    </w:p>
    <w:p>
      <w:r>
        <w:rPr>
          <w:i/>
          <w:color w:val="6B7486"/>
          <w:sz w:val="18"/>
        </w:rPr>
        <w:t>Template from GrantsManager (grantsmanager.com/templates/grant-management-checklist). Replace the highlighted [bracketed] text, delete these gray notes, and follow your sponsor's current instructions.</w:t>
      </w:r>
    </w:p>
    <w:p>
      <w:pPr>
        <w:spacing w:before="200"/>
      </w:pPr>
      <w:r>
        <w:rPr>
          <w:b/>
          <w:color w:val="142344"/>
          <w:sz w:val="25"/>
        </w:rPr>
        <w:t>Grant Management Checklist</w:t>
      </w:r>
    </w:p>
    <w:p>
      <w:r>
        <w:t xml:space="preserve">Award: </w:t>
      </w:r>
      <w:r>
        <w:rPr>
          <w:highlight w:val="yellow"/>
        </w:rPr>
        <w:t>[Sponsor and award number]</w:t>
      </w:r>
      <w:r>
        <w:t xml:space="preserve">   |   PD/PI: </w:t>
      </w:r>
      <w:r>
        <w:rPr>
          <w:highlight w:val="yellow"/>
        </w:rPr>
        <w:t>[Name]</w:t>
      </w:r>
      <w:r>
        <w:t xml:space="preserve">   |   Project period: </w:t>
      </w:r>
      <w:r>
        <w:rPr>
          <w:highlight w:val="yellow"/>
        </w:rPr>
        <w:t>[MM/DD/YYYY]</w:t>
      </w:r>
      <w:r>
        <w:t xml:space="preserve"> to </w:t>
      </w:r>
      <w:r>
        <w:rPr>
          <w:highlight w:val="yellow"/>
        </w:rPr>
        <w:t>[MM/DD/YYYY]</w:t>
      </w:r>
      <w:r>
        <w:t xml:space="preserve">   |   Grants manager: </w:t>
      </w:r>
      <w:r>
        <w:rPr>
          <w:highlight w:val="yellow"/>
        </w:rPr>
        <w:t>[Name]</w:t>
      </w:r>
    </w:p>
    <w:p>
      <w:r>
        <w:rPr>
          <w:i/>
          <w:color w:val="6B7486"/>
          <w:sz w:val="19"/>
        </w:rPr>
        <w:t>Mark each item when complete and add the date. Delete items that do not apply to this sponsor.</w:t>
      </w:r>
    </w:p>
    <w:p>
      <w:pPr>
        <w:spacing w:before="200"/>
      </w:pPr>
      <w:r>
        <w:rPr>
          <w:b/>
          <w:color w:val="142344"/>
          <w:sz w:val="25"/>
        </w:rPr>
        <w:t>1. Before submission</w:t>
      </w:r>
    </w:p>
    <w:p>
      <w:r>
        <w:t>☐  Funding opportunity read in full: eligibility, page limits, budget limits, required attachments.</w:t>
      </w:r>
    </w:p>
    <w:p>
      <w:r>
        <w:t>☐  Budget built with current salary, fringe, and F&amp;A rates; NIH salary cap applied if NIH.</w:t>
      </w:r>
    </w:p>
    <w:p>
      <w:r>
        <w:t>☐  Subawards: only the first $25,000 of each subaward included in the F&amp;A base (NIH, and other sponsors unless your rate agreement adopts $50,000).</w:t>
      </w:r>
    </w:p>
    <w:p>
      <w:r>
        <w:t>☐  Budget justification matches every line of the budget.</w:t>
      </w:r>
    </w:p>
    <w:p>
      <w:r>
        <w:t>☐  Subrecipient budgets, statements of work, and letters of intent collected.</w:t>
      </w:r>
    </w:p>
    <w:p>
      <w:r>
        <w:t>☐  Cost sharing and internal commitments approved in writing.</w:t>
      </w:r>
    </w:p>
    <w:p>
      <w:r>
        <w:t>☐  Compliance needs identified: human subjects, animals, export controls, financial conflicts of interest.</w:t>
      </w:r>
    </w:p>
    <w:p>
      <w:r>
        <w:t>☐  Proposal routed to the sponsored programs office by the internal deadline.</w:t>
      </w:r>
    </w:p>
    <w:p>
      <w:pPr>
        <w:spacing w:before="200"/>
      </w:pPr>
      <w:r>
        <w:rPr>
          <w:b/>
          <w:color w:val="142344"/>
          <w:sz w:val="25"/>
        </w:rPr>
        <w:t>2. At award</w:t>
      </w:r>
    </w:p>
    <w:p>
      <w:r>
        <w:t>☐  Notice of award reviewed: amount, budget period, terms incorporated by reference, special conditions.</w:t>
      </w:r>
    </w:p>
    <w:p>
      <w:r>
        <w:t>☐  Differences from the proposed budget noted and the budget revised to match the award.</w:t>
      </w:r>
    </w:p>
    <w:p>
      <w:r>
        <w:t>☐  Reporting dates recorded: progress, financial, invention, and closeout.</w:t>
      </w:r>
    </w:p>
    <w:p>
      <w:r>
        <w:t>☐  Account set up and personnel added to payroll distribution.</w:t>
      </w:r>
    </w:p>
    <w:p>
      <w:r>
        <w:t>☐  Subawards issued with a subrecipient risk assessment on file.</w:t>
      </w:r>
    </w:p>
    <w:p>
      <w:r>
        <w:t>☐  IRB, IACUC, or other approvals current for the funded work.</w:t>
      </w:r>
    </w:p>
    <w:p>
      <w:pPr>
        <w:spacing w:before="200"/>
      </w:pPr>
      <w:r>
        <w:rPr>
          <w:b/>
          <w:color w:val="142344"/>
          <w:sz w:val="25"/>
        </w:rPr>
        <w:t>3. During the award</w:t>
      </w:r>
    </w:p>
    <w:p>
      <w:r>
        <w:t>☐  Monthly review of spending, encumbrances, and burn rate against time elapsed.</w:t>
      </w:r>
    </w:p>
    <w:p>
      <w:r>
        <w:t>☐  Payroll matches effort commitments; changes of 25% or more in key personnel effort reviewed for prior approval.</w:t>
      </w:r>
    </w:p>
    <w:p>
      <w:r>
        <w:t>☐  Cost transfers made within the institutional window, with justification.</w:t>
      </w:r>
    </w:p>
    <w:p>
      <w:r>
        <w:t>☐  Prior approvals requested before changes in scope, key personnel, or restricted rebudgeting.</w:t>
      </w:r>
    </w:p>
    <w:p>
      <w:r>
        <w:t>☐  Subrecipient invoices reviewed against their budgets and scope.</w:t>
      </w:r>
    </w:p>
    <w:p>
      <w:r>
        <w:t>☐  Effort certified on schedule.</w:t>
      </w:r>
    </w:p>
    <w:p>
      <w:r>
        <w:t>☐  Annual progress report on time (NIH RPPR: 45 days before the next budget period for SNAP awards, 60 days for non-SNAP).</w:t>
      </w:r>
    </w:p>
    <w:p>
      <w:r>
        <w:t>☐  Protocol renewals tracked so approvals never lapse.</w:t>
      </w:r>
    </w:p>
    <w:p>
      <w:pPr>
        <w:spacing w:before="200"/>
      </w:pPr>
      <w:r>
        <w:rPr>
          <w:b/>
          <w:color w:val="142344"/>
          <w:sz w:val="25"/>
        </w:rPr>
        <w:t>4. Closeout</w:t>
      </w:r>
    </w:p>
    <w:p>
      <w:r>
        <w:t>☐  90 days before the end date: decide whether a no-cost extension is needed.</w:t>
      </w:r>
    </w:p>
    <w:p>
      <w:r>
        <w:t>☐  Final subrecipient invoices and reports requested (NIH subrecipients report within 90 days of the end date).</w:t>
      </w:r>
    </w:p>
    <w:p>
      <w:r>
        <w:t>☐  Account reconciled: unallowable and unsupported charges removed, encumbrances closed.</w:t>
      </w:r>
    </w:p>
    <w:p>
      <w:r>
        <w:t>☐  Final financial report, final progress report, and final invention statement submitted (NIH: within 120 days of the end date).</w:t>
      </w:r>
    </w:p>
    <w:p>
      <w:r>
        <w:t>☐  Equipment inventory reported if required.</w:t>
      </w:r>
    </w:p>
    <w:p>
      <w:r>
        <w:t>☐  Records retained for the required period, generally three years from the final financial report.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Grant Management Checklist</dc:title>
  <dc:subject/>
  <dc:creator>GrantsManager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